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801" w:tblpY="80"/>
        <w:tblW w:w="10349" w:type="dxa"/>
        <w:tblLayout w:type="fixed"/>
        <w:tblCellMar>
          <w:left w:w="0" w:type="dxa"/>
          <w:right w:w="284" w:type="dxa"/>
        </w:tblCellMar>
        <w:tblLook w:val="04A0" w:firstRow="1" w:lastRow="0" w:firstColumn="1" w:lastColumn="0" w:noHBand="0" w:noVBand="1"/>
      </w:tblPr>
      <w:tblGrid>
        <w:gridCol w:w="2694"/>
        <w:gridCol w:w="7655"/>
      </w:tblGrid>
      <w:tr w:rsidR="008B74BD" w:rsidRPr="00EA4C20" w14:paraId="60B62552" w14:textId="77777777" w:rsidTr="00A63069">
        <w:trPr>
          <w:trHeight w:val="11102"/>
        </w:trPr>
        <w:tc>
          <w:tcPr>
            <w:tcW w:w="2694" w:type="dxa"/>
            <w:shd w:val="clear" w:color="auto" w:fill="auto"/>
          </w:tcPr>
          <w:p w14:paraId="0E790954" w14:textId="1DCCD198" w:rsidR="008B74BD" w:rsidRPr="00EA4C20" w:rsidRDefault="008B74BD" w:rsidP="00A63069">
            <w:pPr>
              <w:pStyle w:val="Titolo1"/>
              <w:jc w:val="right"/>
              <w:rPr>
                <w:sz w:val="18"/>
                <w:szCs w:val="18"/>
                <w:lang w:val="it-IT"/>
              </w:rPr>
            </w:pPr>
            <w:bookmarkStart w:id="0" w:name="_GoBack"/>
            <w:bookmarkEnd w:id="0"/>
          </w:p>
          <w:p w14:paraId="54679536" w14:textId="1A59DD3C" w:rsidR="008B74BD" w:rsidRPr="00EA4C20" w:rsidRDefault="008B74BD" w:rsidP="00A63069">
            <w:pPr>
              <w:pStyle w:val="Titolo1"/>
              <w:jc w:val="right"/>
              <w:rPr>
                <w:sz w:val="18"/>
                <w:szCs w:val="18"/>
                <w:lang w:val="it-IT"/>
              </w:rPr>
            </w:pPr>
          </w:p>
          <w:p w14:paraId="24D40D37" w14:textId="77777777" w:rsidR="008B74BD" w:rsidRPr="00EA4C20" w:rsidRDefault="008B74BD" w:rsidP="00A63069">
            <w:pPr>
              <w:pStyle w:val="Titolo1"/>
              <w:jc w:val="right"/>
              <w:rPr>
                <w:sz w:val="18"/>
                <w:szCs w:val="18"/>
                <w:lang w:val="it-IT"/>
              </w:rPr>
            </w:pPr>
          </w:p>
          <w:p w14:paraId="760BAD3A" w14:textId="77777777" w:rsidR="008B74BD" w:rsidRPr="00EA4C20" w:rsidRDefault="008B74BD" w:rsidP="00A63069">
            <w:pPr>
              <w:pStyle w:val="Titolo1"/>
              <w:jc w:val="right"/>
              <w:rPr>
                <w:sz w:val="18"/>
                <w:szCs w:val="18"/>
                <w:lang w:val="it-IT"/>
              </w:rPr>
            </w:pPr>
          </w:p>
          <w:p w14:paraId="5A7C20B3" w14:textId="77777777" w:rsidR="003C222F" w:rsidRPr="003C222F" w:rsidRDefault="003C222F" w:rsidP="003C222F"/>
          <w:p w14:paraId="084E11C5" w14:textId="77777777" w:rsidR="008B74BD" w:rsidRPr="00EA4C20" w:rsidRDefault="008B74BD" w:rsidP="00A63069">
            <w:pPr>
              <w:pStyle w:val="Titolo1"/>
              <w:jc w:val="right"/>
              <w:rPr>
                <w:sz w:val="18"/>
                <w:szCs w:val="18"/>
                <w:lang w:val="it-IT"/>
              </w:rPr>
            </w:pPr>
          </w:p>
          <w:p w14:paraId="360C6F42" w14:textId="77777777" w:rsidR="008B74BD" w:rsidRPr="00EA4C20" w:rsidRDefault="008B74BD" w:rsidP="00A63069">
            <w:pPr>
              <w:pStyle w:val="Titolo1"/>
              <w:spacing w:line="27" w:lineRule="atLeast"/>
              <w:jc w:val="right"/>
              <w:rPr>
                <w:sz w:val="18"/>
                <w:szCs w:val="18"/>
                <w:lang w:val="it-IT"/>
              </w:rPr>
            </w:pPr>
          </w:p>
          <w:p w14:paraId="161515C4" w14:textId="77777777" w:rsidR="008B74BD" w:rsidRPr="00EA4C20" w:rsidRDefault="008B74BD" w:rsidP="00A63069">
            <w:pPr>
              <w:pStyle w:val="Titolo1"/>
              <w:spacing w:line="307" w:lineRule="auto"/>
              <w:jc w:val="right"/>
              <w:rPr>
                <w:sz w:val="16"/>
                <w:szCs w:val="16"/>
                <w:lang w:val="it-IT"/>
              </w:rPr>
            </w:pPr>
            <w:proofErr w:type="gramStart"/>
            <w:r w:rsidRPr="00EA4C20">
              <w:rPr>
                <w:sz w:val="16"/>
                <w:szCs w:val="16"/>
                <w:lang w:val="it-IT"/>
              </w:rPr>
              <w:t>proHolz</w:t>
            </w:r>
            <w:proofErr w:type="gramEnd"/>
            <w:r w:rsidRPr="00EA4C20">
              <w:rPr>
                <w:sz w:val="16"/>
                <w:szCs w:val="16"/>
                <w:lang w:val="it-IT"/>
              </w:rPr>
              <w:t xml:space="preserve"> Austria</w:t>
            </w:r>
          </w:p>
          <w:p w14:paraId="41F0AB10" w14:textId="55916B97" w:rsidR="008B74BD" w:rsidRPr="00EA4C20" w:rsidRDefault="008B74BD" w:rsidP="008B74BD">
            <w:pPr>
              <w:jc w:val="right"/>
              <w:rPr>
                <w:rFonts w:cs="Arial"/>
                <w:sz w:val="16"/>
                <w:szCs w:val="16"/>
              </w:rPr>
            </w:pPr>
            <w:proofErr w:type="gramStart"/>
            <w:r w:rsidRPr="00EA4C20">
              <w:rPr>
                <w:rFonts w:cs="Arial"/>
                <w:sz w:val="16"/>
                <w:szCs w:val="16"/>
              </w:rPr>
              <w:t>e</w:t>
            </w:r>
            <w:proofErr w:type="gramEnd"/>
            <w:r w:rsidRPr="00EA4C20">
              <w:rPr>
                <w:rFonts w:cs="Arial"/>
                <w:sz w:val="16"/>
                <w:szCs w:val="16"/>
              </w:rPr>
              <w:t xml:space="preserve"> </w:t>
            </w:r>
            <w:r w:rsidRPr="00EA4C20">
              <w:rPr>
                <w:rFonts w:cs="Arial"/>
                <w:b/>
                <w:sz w:val="16"/>
                <w:szCs w:val="16"/>
              </w:rPr>
              <w:t>promo_legno</w:t>
            </w:r>
            <w:r w:rsidRPr="00EA4C20">
              <w:rPr>
                <w:rFonts w:cs="Arial"/>
                <w:sz w:val="16"/>
                <w:szCs w:val="16"/>
              </w:rPr>
              <w:t xml:space="preserve"> in collaborazione con il Dipartimento di Edilizia in legno del Politecnico di Monaco di Baviera (TUM), sostenuta dall’Organizzazione Europea delle Segherie (EOS) e dalla Federazione Europea dei Produttori di Pannelli in Legno (EPF) </w:t>
            </w:r>
          </w:p>
          <w:p w14:paraId="48DF5AC1" w14:textId="77777777" w:rsidR="008B74BD" w:rsidRPr="00EA4C20" w:rsidRDefault="008B74BD" w:rsidP="008B74BD">
            <w:pPr>
              <w:jc w:val="right"/>
              <w:rPr>
                <w:rFonts w:cs="Arial"/>
                <w:sz w:val="16"/>
                <w:szCs w:val="16"/>
              </w:rPr>
            </w:pPr>
          </w:p>
          <w:p w14:paraId="521D7A08" w14:textId="77777777" w:rsidR="00600B05" w:rsidRPr="00EA4C20" w:rsidRDefault="00600B05" w:rsidP="00600B05">
            <w:pPr>
              <w:jc w:val="right"/>
              <w:rPr>
                <w:rFonts w:cs="Arial"/>
                <w:sz w:val="16"/>
                <w:szCs w:val="16"/>
              </w:rPr>
            </w:pPr>
            <w:r w:rsidRPr="00EA4C20">
              <w:rPr>
                <w:rFonts w:cs="Arial"/>
                <w:sz w:val="16"/>
                <w:szCs w:val="16"/>
              </w:rPr>
              <w:t xml:space="preserve">Con il patrocinio di: </w:t>
            </w:r>
          </w:p>
          <w:p w14:paraId="75E61725" w14:textId="4FDF54A1" w:rsidR="00BD70B7" w:rsidRDefault="00600B05" w:rsidP="00600B05">
            <w:pPr>
              <w:jc w:val="right"/>
              <w:rPr>
                <w:rFonts w:cs="Arial"/>
                <w:sz w:val="16"/>
                <w:szCs w:val="16"/>
              </w:rPr>
            </w:pPr>
            <w:proofErr w:type="gramStart"/>
            <w:r w:rsidRPr="00EA4C20">
              <w:rPr>
                <w:rFonts w:cs="Arial"/>
                <w:sz w:val="16"/>
                <w:szCs w:val="16"/>
              </w:rPr>
              <w:t>Città di Torino, Ordine degli Architetti PPC della Provincia di Torino</w:t>
            </w:r>
            <w:r>
              <w:rPr>
                <w:rFonts w:cs="Arial"/>
                <w:sz w:val="16"/>
                <w:szCs w:val="16"/>
              </w:rPr>
              <w:t xml:space="preserve"> e Fondazione OAT</w:t>
            </w:r>
            <w:r w:rsidRPr="00EA4C20">
              <w:rPr>
                <w:rFonts w:cs="Arial"/>
                <w:sz w:val="16"/>
                <w:szCs w:val="16"/>
              </w:rPr>
              <w:t>, Ordine degli Ingegneri della Provincia di Torino, D</w:t>
            </w:r>
            <w:proofErr w:type="gramEnd"/>
            <w:r w:rsidRPr="00EA4C20">
              <w:rPr>
                <w:rFonts w:cs="Arial"/>
                <w:sz w:val="16"/>
                <w:szCs w:val="16"/>
              </w:rPr>
              <w:t xml:space="preserve">ipartimento di Architettura e Design (DAD) del Politecnico di Torino, Scuola di Architettura Civile del Politecnico di Milano, Dipartimento di Ingegneria Civile, Ambientale e Meccanica (DICAM) dell’Università di Trento, </w:t>
            </w:r>
            <w:proofErr w:type="spellStart"/>
            <w:r w:rsidRPr="00EA4C20">
              <w:rPr>
                <w:rFonts w:cs="Arial"/>
                <w:sz w:val="16"/>
                <w:szCs w:val="16"/>
              </w:rPr>
              <w:t>Assolegno</w:t>
            </w:r>
            <w:proofErr w:type="spellEnd"/>
            <w:r w:rsidRPr="00EA4C20">
              <w:rPr>
                <w:rFonts w:cs="Arial"/>
                <w:sz w:val="16"/>
                <w:szCs w:val="16"/>
              </w:rPr>
              <w:t xml:space="preserve"> (</w:t>
            </w:r>
            <w:proofErr w:type="spellStart"/>
            <w:r w:rsidRPr="00EA4C20">
              <w:rPr>
                <w:rFonts w:cs="Arial"/>
                <w:sz w:val="16"/>
                <w:szCs w:val="16"/>
              </w:rPr>
              <w:t>FederlegnoArredo</w:t>
            </w:r>
            <w:proofErr w:type="spellEnd"/>
            <w:r w:rsidRPr="00EA4C20">
              <w:rPr>
                <w:rFonts w:cs="Arial"/>
                <w:sz w:val="16"/>
                <w:szCs w:val="16"/>
              </w:rPr>
              <w:t xml:space="preserve">), </w:t>
            </w:r>
            <w:proofErr w:type="spellStart"/>
            <w:r w:rsidRPr="00EA4C20">
              <w:rPr>
                <w:rFonts w:cs="Arial"/>
                <w:sz w:val="16"/>
                <w:szCs w:val="16"/>
              </w:rPr>
              <w:t>Advantage</w:t>
            </w:r>
            <w:proofErr w:type="spellEnd"/>
            <w:r w:rsidRPr="00EA4C20">
              <w:rPr>
                <w:rFonts w:cs="Arial"/>
                <w:sz w:val="16"/>
                <w:szCs w:val="16"/>
              </w:rPr>
              <w:t xml:space="preserve"> Austria (Consolato Generale d’Austria, Sezione Commercial</w:t>
            </w:r>
            <w:r w:rsidR="00A72323">
              <w:rPr>
                <w:rFonts w:cs="Arial"/>
                <w:sz w:val="16"/>
                <w:szCs w:val="16"/>
              </w:rPr>
              <w:t>e</w:t>
            </w:r>
          </w:p>
          <w:p w14:paraId="4148A11E" w14:textId="77777777" w:rsidR="00A72323" w:rsidRDefault="00A72323" w:rsidP="00600B05">
            <w:pPr>
              <w:jc w:val="right"/>
              <w:rPr>
                <w:rFonts w:cs="Arial"/>
                <w:sz w:val="16"/>
                <w:szCs w:val="16"/>
              </w:rPr>
            </w:pPr>
          </w:p>
          <w:p w14:paraId="0488F867" w14:textId="59806491" w:rsidR="00A72323" w:rsidRPr="0018051F" w:rsidRDefault="00A72323" w:rsidP="00600B05">
            <w:pPr>
              <w:jc w:val="right"/>
              <w:rPr>
                <w:color w:val="59AA42"/>
                <w:spacing w:val="0"/>
                <w:sz w:val="18"/>
                <w:szCs w:val="18"/>
              </w:rPr>
            </w:pPr>
            <w:proofErr w:type="gramStart"/>
            <w:r w:rsidRPr="0018051F">
              <w:rPr>
                <w:color w:val="59AA42"/>
                <w:spacing w:val="0"/>
                <w:sz w:val="18"/>
                <w:szCs w:val="18"/>
              </w:rPr>
              <w:t>www.promolegno.com</w:t>
            </w:r>
            <w:proofErr w:type="gramEnd"/>
          </w:p>
          <w:p w14:paraId="1712D33D" w14:textId="77777777" w:rsidR="00BD70B7" w:rsidRPr="00EA4C20" w:rsidRDefault="00BD70B7" w:rsidP="00BD70B7">
            <w:pPr>
              <w:pStyle w:val="Nessunaspaziatura"/>
              <w:jc w:val="right"/>
              <w:rPr>
                <w:color w:val="000000"/>
                <w:sz w:val="18"/>
                <w:szCs w:val="18"/>
                <w:lang w:val="it-IT"/>
              </w:rPr>
            </w:pPr>
            <w:proofErr w:type="gramStart"/>
            <w:r w:rsidRPr="00EA4C20">
              <w:rPr>
                <w:sz w:val="18"/>
                <w:szCs w:val="18"/>
                <w:lang w:val="it-IT"/>
              </w:rPr>
              <w:t>www.wooddays.eu</w:t>
            </w:r>
            <w:proofErr w:type="gramEnd"/>
          </w:p>
          <w:p w14:paraId="7162A6AE" w14:textId="60B0B394" w:rsidR="008B74BD" w:rsidRPr="00EA4C20" w:rsidRDefault="008B74BD" w:rsidP="008B74BD">
            <w:pPr>
              <w:jc w:val="right"/>
              <w:rPr>
                <w:rFonts w:cs="Arial"/>
                <w:sz w:val="16"/>
                <w:szCs w:val="16"/>
              </w:rPr>
            </w:pPr>
            <w:r w:rsidRPr="00EA4C20">
              <w:rPr>
                <w:rFonts w:cs="Arial"/>
                <w:sz w:val="16"/>
                <w:szCs w:val="16"/>
              </w:rPr>
              <w:t xml:space="preserve"> </w:t>
            </w:r>
          </w:p>
          <w:p w14:paraId="61107DB1" w14:textId="77777777" w:rsidR="002B36FF" w:rsidRDefault="002B36FF" w:rsidP="002B36FF">
            <w:pPr>
              <w:spacing w:line="307" w:lineRule="auto"/>
              <w:rPr>
                <w:sz w:val="18"/>
                <w:szCs w:val="18"/>
              </w:rPr>
            </w:pPr>
          </w:p>
          <w:p w14:paraId="5487EF98" w14:textId="77777777" w:rsidR="002B36FF" w:rsidRDefault="002B36FF" w:rsidP="002B36FF">
            <w:pPr>
              <w:spacing w:line="307" w:lineRule="auto"/>
              <w:jc w:val="center"/>
              <w:rPr>
                <w:sz w:val="18"/>
                <w:szCs w:val="18"/>
              </w:rPr>
            </w:pPr>
          </w:p>
          <w:p w14:paraId="7D698AB7" w14:textId="77777777" w:rsidR="00FA2396" w:rsidRDefault="00FA2396" w:rsidP="002B36FF">
            <w:pPr>
              <w:spacing w:line="307" w:lineRule="auto"/>
              <w:jc w:val="center"/>
              <w:rPr>
                <w:sz w:val="18"/>
                <w:szCs w:val="18"/>
              </w:rPr>
            </w:pPr>
          </w:p>
          <w:p w14:paraId="54FB99EC" w14:textId="77777777" w:rsidR="00FA2396" w:rsidRDefault="00FA2396" w:rsidP="002B36FF">
            <w:pPr>
              <w:spacing w:line="307" w:lineRule="auto"/>
              <w:jc w:val="center"/>
              <w:rPr>
                <w:sz w:val="18"/>
                <w:szCs w:val="18"/>
              </w:rPr>
            </w:pPr>
          </w:p>
          <w:p w14:paraId="63252F8E" w14:textId="77777777" w:rsidR="002B36FF" w:rsidRPr="002B36FF" w:rsidRDefault="002B36FF" w:rsidP="00A63848">
            <w:pPr>
              <w:spacing w:line="307" w:lineRule="auto"/>
              <w:jc w:val="right"/>
              <w:rPr>
                <w:sz w:val="18"/>
                <w:szCs w:val="18"/>
              </w:rPr>
            </w:pPr>
            <w:r w:rsidRPr="002B36FF">
              <w:rPr>
                <w:b/>
                <w:sz w:val="18"/>
                <w:szCs w:val="18"/>
              </w:rPr>
              <w:t>Dal bosco alla casa, inquinamento (quasi) zero</w:t>
            </w:r>
          </w:p>
          <w:p w14:paraId="70A14251" w14:textId="77777777" w:rsidR="002B36FF" w:rsidRPr="00EA4C20" w:rsidRDefault="002B36FF" w:rsidP="002B36FF">
            <w:pPr>
              <w:spacing w:line="307" w:lineRule="auto"/>
              <w:rPr>
                <w:sz w:val="18"/>
                <w:szCs w:val="18"/>
              </w:rPr>
            </w:pPr>
          </w:p>
        </w:tc>
        <w:tc>
          <w:tcPr>
            <w:tcW w:w="7655" w:type="dxa"/>
            <w:shd w:val="clear" w:color="auto" w:fill="auto"/>
          </w:tcPr>
          <w:p w14:paraId="757A06D9" w14:textId="07D11A0A" w:rsidR="008B74BD" w:rsidRPr="00EA4C20" w:rsidRDefault="008B74BD" w:rsidP="00A63069">
            <w:pPr>
              <w:pStyle w:val="Titolo1"/>
              <w:rPr>
                <w:sz w:val="18"/>
                <w:szCs w:val="18"/>
                <w:lang w:val="it-IT"/>
              </w:rPr>
            </w:pPr>
            <w:r w:rsidRPr="00EA4C20">
              <w:rPr>
                <w:sz w:val="18"/>
                <w:szCs w:val="18"/>
                <w:lang w:val="it-IT"/>
              </w:rPr>
              <w:t xml:space="preserve">WOOD. BUILDING THE FUTURE.        </w:t>
            </w:r>
          </w:p>
          <w:p w14:paraId="463F8721" w14:textId="77777777" w:rsidR="002B36FF" w:rsidRPr="002B36FF" w:rsidRDefault="002B36FF" w:rsidP="002B36FF">
            <w:pPr>
              <w:spacing w:after="60" w:line="240" w:lineRule="auto"/>
              <w:rPr>
                <w:rFonts w:cs="Arial"/>
                <w:b/>
                <w:sz w:val="18"/>
                <w:szCs w:val="18"/>
              </w:rPr>
            </w:pPr>
            <w:r w:rsidRPr="002B36FF">
              <w:rPr>
                <w:rFonts w:cs="Arial"/>
                <w:b/>
                <w:sz w:val="18"/>
                <w:szCs w:val="18"/>
              </w:rPr>
              <w:t>Costruire in modo sostenibile</w:t>
            </w:r>
          </w:p>
          <w:p w14:paraId="0BF54868" w14:textId="77777777" w:rsidR="002B36FF" w:rsidRPr="002B36FF" w:rsidRDefault="002B36FF" w:rsidP="002B36FF">
            <w:pPr>
              <w:pStyle w:val="Titolo1"/>
              <w:rPr>
                <w:sz w:val="18"/>
                <w:szCs w:val="18"/>
              </w:rPr>
            </w:pPr>
            <w:r w:rsidRPr="002B36FF">
              <w:rPr>
                <w:sz w:val="18"/>
                <w:szCs w:val="18"/>
              </w:rPr>
              <w:t>MATERIA PRIMA ECOLOGICA PER ECCELLENZA, IL LEGNO È UNA RISORSA VERSATILE, IL CUI IMPIEGO IN EDILIZIA RIDUCE LE EMISSIONI DI ANIDRIDE CARBONICA MIGLIORANDO LE PRESTAZIONI ENERGETICHE DI UFFICI E ABITAZIONI. TUTTI I VANTAGGI DEL SUO UTILIZZO</w:t>
            </w:r>
          </w:p>
          <w:p w14:paraId="5A25400F" w14:textId="77777777" w:rsidR="008B74BD" w:rsidRPr="00EA4C20" w:rsidRDefault="008B74BD" w:rsidP="00A63069">
            <w:pPr>
              <w:rPr>
                <w:sz w:val="18"/>
                <w:szCs w:val="18"/>
              </w:rPr>
            </w:pPr>
          </w:p>
          <w:p w14:paraId="2CFBBF64" w14:textId="77777777" w:rsidR="00BB290A" w:rsidRPr="00EA4C20" w:rsidRDefault="00BB290A" w:rsidP="00A63069">
            <w:pPr>
              <w:rPr>
                <w:sz w:val="18"/>
                <w:szCs w:val="18"/>
              </w:rPr>
            </w:pPr>
          </w:p>
          <w:p w14:paraId="1516AE29" w14:textId="3895904D" w:rsidR="002B36FF" w:rsidRPr="002B36FF" w:rsidRDefault="002B36FF" w:rsidP="00AE0FA6">
            <w:pPr>
              <w:spacing w:line="240" w:lineRule="atLeast"/>
              <w:jc w:val="both"/>
              <w:rPr>
                <w:rFonts w:cs="Arial"/>
                <w:sz w:val="18"/>
                <w:szCs w:val="18"/>
              </w:rPr>
            </w:pPr>
            <w:r w:rsidRPr="002B36FF">
              <w:rPr>
                <w:rFonts w:cs="Arial"/>
                <w:sz w:val="18"/>
                <w:szCs w:val="18"/>
              </w:rPr>
              <w:t>Entro il 2020 le emissioni dei gas serra dovranno ridursi del 40 per cento rispetto al 1990. </w:t>
            </w:r>
            <w:r w:rsidR="00747E43">
              <w:rPr>
                <w:rFonts w:cs="Arial"/>
                <w:sz w:val="18"/>
                <w:szCs w:val="18"/>
              </w:rPr>
              <w:t>Poiché</w:t>
            </w:r>
            <w:r w:rsidRPr="002B36FF">
              <w:rPr>
                <w:rFonts w:cs="Arial"/>
                <w:sz w:val="18"/>
                <w:szCs w:val="18"/>
              </w:rPr>
              <w:t xml:space="preserve"> oltre un terzo dei consumi energetici mondiali è riconducibile alla domanda di energia del settore residenziale e terziario </w:t>
            </w:r>
            <w:proofErr w:type="gramStart"/>
            <w:r w:rsidRPr="002B36FF">
              <w:rPr>
                <w:rFonts w:cs="Arial"/>
                <w:sz w:val="18"/>
                <w:szCs w:val="18"/>
              </w:rPr>
              <w:t>(</w:t>
            </w:r>
            <w:proofErr w:type="gramEnd"/>
            <w:r w:rsidRPr="002B36FF">
              <w:rPr>
                <w:rFonts w:cs="Arial"/>
                <w:sz w:val="18"/>
                <w:szCs w:val="18"/>
              </w:rPr>
              <w:t>riscaldamento, illum</w:t>
            </w:r>
            <w:r w:rsidR="00747E43">
              <w:rPr>
                <w:rFonts w:cs="Arial"/>
                <w:sz w:val="18"/>
                <w:szCs w:val="18"/>
              </w:rPr>
              <w:t xml:space="preserve">inazione, condizionamento, ecc. </w:t>
            </w:r>
            <w:proofErr w:type="gramStart"/>
            <w:r w:rsidRPr="002B36FF">
              <w:rPr>
                <w:rFonts w:cs="Arial"/>
                <w:sz w:val="18"/>
                <w:szCs w:val="18"/>
              </w:rPr>
              <w:t>),</w:t>
            </w:r>
            <w:proofErr w:type="gramEnd"/>
            <w:r w:rsidRPr="002B36FF">
              <w:rPr>
                <w:rFonts w:cs="Arial"/>
                <w:sz w:val="18"/>
                <w:szCs w:val="18"/>
              </w:rPr>
              <w:t xml:space="preserve"> ogni chilowatt ora di energia elettrica, ogni metro cubo di gas metano, ogni litro di gasolio che un edificio può risparmiare corrisponde a una riduzione concreta dell’anidride carbonica in circolo nell’atmosfera. E le città intelligenti del futuro non potranno non tenerne conto, soprattutto nella scelta dei materiali da costruzione. Il legno, rinnovabile e riciclabile, è la materia prima ecologica per eccellenza: richiede un limitato consumo di energia nelle fasi di produzione e posa, non rilascia polveri o fibre e, quando utilizzato in processi di termovalorizzazione, si smaltisce restituendo l’energia accumulata. Inoltre necessita solo di acqua, aria e sole per crescere e ogni metro cubo impiegato in edilizia </w:t>
            </w:r>
            <w:proofErr w:type="gramStart"/>
            <w:r w:rsidRPr="002B36FF">
              <w:rPr>
                <w:rFonts w:cs="Arial"/>
                <w:sz w:val="18"/>
                <w:szCs w:val="18"/>
              </w:rPr>
              <w:t>corrisponde</w:t>
            </w:r>
            <w:proofErr w:type="gramEnd"/>
            <w:r w:rsidRPr="002B36FF">
              <w:rPr>
                <w:rFonts w:cs="Arial"/>
                <w:sz w:val="18"/>
                <w:szCs w:val="18"/>
              </w:rPr>
              <w:t xml:space="preserve"> a quasi una tonnellata di CO</w:t>
            </w:r>
            <w:r w:rsidRPr="002B36FF">
              <w:rPr>
                <w:rFonts w:cs="Arial"/>
                <w:sz w:val="18"/>
                <w:szCs w:val="18"/>
                <w:vertAlign w:val="subscript"/>
              </w:rPr>
              <w:t>2</w:t>
            </w:r>
            <w:r w:rsidRPr="002B36FF">
              <w:rPr>
                <w:rFonts w:cs="Arial"/>
                <w:sz w:val="18"/>
                <w:szCs w:val="18"/>
              </w:rPr>
              <w:t xml:space="preserve"> stoccata, una riserva imprigionata attraverso il processo di fotosintesi clorofilliana, che si manterrà intatta finché il legno non marcirà o verrà bruciato.  </w:t>
            </w:r>
          </w:p>
          <w:p w14:paraId="4E02A3FE" w14:textId="6092B860" w:rsidR="008B74BD" w:rsidRDefault="008B74BD" w:rsidP="00AE0FA6">
            <w:pPr>
              <w:spacing w:line="240" w:lineRule="atLeast"/>
              <w:jc w:val="both"/>
              <w:rPr>
                <w:rFonts w:cs="Arial"/>
                <w:sz w:val="18"/>
                <w:szCs w:val="18"/>
              </w:rPr>
            </w:pPr>
          </w:p>
          <w:p w14:paraId="4E0A743A" w14:textId="5FF4C715" w:rsidR="002B36FF" w:rsidRPr="002B36FF" w:rsidRDefault="002B36FF" w:rsidP="00AE0FA6">
            <w:pPr>
              <w:jc w:val="both"/>
              <w:rPr>
                <w:sz w:val="18"/>
                <w:szCs w:val="18"/>
              </w:rPr>
            </w:pPr>
            <w:r w:rsidRPr="002B36FF">
              <w:rPr>
                <w:sz w:val="18"/>
                <w:szCs w:val="18"/>
              </w:rPr>
              <w:t xml:space="preserve">Le aree </w:t>
            </w:r>
            <w:proofErr w:type="gramStart"/>
            <w:r w:rsidRPr="002B36FF">
              <w:rPr>
                <w:sz w:val="18"/>
                <w:szCs w:val="18"/>
              </w:rPr>
              <w:t>boschive</w:t>
            </w:r>
            <w:proofErr w:type="gramEnd"/>
            <w:r w:rsidRPr="002B36FF">
              <w:rPr>
                <w:sz w:val="18"/>
                <w:szCs w:val="18"/>
              </w:rPr>
              <w:t xml:space="preserve"> rappresentano un’importante risorsa per il futuro. In Europa metà delle foreste è composta </w:t>
            </w:r>
            <w:proofErr w:type="gramStart"/>
            <w:r w:rsidRPr="002B36FF">
              <w:rPr>
                <w:sz w:val="18"/>
                <w:szCs w:val="18"/>
              </w:rPr>
              <w:t>da</w:t>
            </w:r>
            <w:proofErr w:type="gramEnd"/>
            <w:r w:rsidRPr="002B36FF">
              <w:rPr>
                <w:sz w:val="18"/>
                <w:szCs w:val="18"/>
              </w:rPr>
              <w:t xml:space="preserve"> conifere, il 27 per cento da latifoglie e il 23 per cento è misto. Un patrimonio che, anno dopo anno, continua a crescere in termini di superficie: dei 776 milioni di metri cubi di legno che crescono silenziosamente nel Vecchio Continente, ne </w:t>
            </w:r>
            <w:proofErr w:type="gramStart"/>
            <w:r w:rsidRPr="002B36FF">
              <w:rPr>
                <w:sz w:val="18"/>
                <w:szCs w:val="18"/>
              </w:rPr>
              <w:t>vengono</w:t>
            </w:r>
            <w:proofErr w:type="gramEnd"/>
            <w:r w:rsidRPr="002B36FF">
              <w:rPr>
                <w:sz w:val="18"/>
                <w:szCs w:val="18"/>
              </w:rPr>
              <w:t xml:space="preserve"> abbattuti meno di due terzi, circa 490 milioni di metri cubi l’anno. Con 1.285 milioni di metri cubi di legname, l’Italia è tra i Paesi Ue con le scorte maggiori dopo Germania (3.466), Svezia (2.651), Francia (2.453), Polonia (2.092) e Finlandia (2.024). </w:t>
            </w:r>
          </w:p>
          <w:p w14:paraId="0219B548" w14:textId="77777777" w:rsidR="002B36FF" w:rsidRPr="002B36FF" w:rsidRDefault="002B36FF" w:rsidP="00AE0FA6">
            <w:pPr>
              <w:jc w:val="both"/>
              <w:rPr>
                <w:sz w:val="18"/>
                <w:szCs w:val="18"/>
              </w:rPr>
            </w:pPr>
          </w:p>
          <w:p w14:paraId="1BE76861" w14:textId="2774DE21" w:rsidR="002B36FF" w:rsidRPr="002B36FF" w:rsidRDefault="002B36FF" w:rsidP="00AE0FA6">
            <w:pPr>
              <w:jc w:val="both"/>
              <w:rPr>
                <w:sz w:val="18"/>
                <w:szCs w:val="18"/>
              </w:rPr>
            </w:pPr>
            <w:r w:rsidRPr="002B36FF">
              <w:rPr>
                <w:sz w:val="18"/>
                <w:szCs w:val="18"/>
              </w:rPr>
              <w:t>Ogni tronco utilizzato lascia spazio a nuovi alberi, aumentando così i serbatoi di CO</w:t>
            </w:r>
            <w:r w:rsidRPr="002B36FF">
              <w:rPr>
                <w:sz w:val="18"/>
                <w:szCs w:val="18"/>
                <w:vertAlign w:val="subscript"/>
              </w:rPr>
              <w:t>2</w:t>
            </w:r>
            <w:r w:rsidRPr="002B36FF">
              <w:rPr>
                <w:sz w:val="18"/>
                <w:szCs w:val="18"/>
              </w:rPr>
              <w:t xml:space="preserve">, sottratto a tutti gli effetti dal suo ciclo naturale per diversi decenni e imprigionato in ponti, passerelle, edifici. E, combinando lo stoccaggio nel bosco con quello dei prodotti a base di legno, i benefici globali </w:t>
            </w:r>
            <w:proofErr w:type="gramStart"/>
            <w:r w:rsidRPr="002B36FF">
              <w:rPr>
                <w:sz w:val="18"/>
                <w:szCs w:val="18"/>
              </w:rPr>
              <w:t>risultano essere</w:t>
            </w:r>
            <w:proofErr w:type="gramEnd"/>
            <w:r w:rsidRPr="002B36FF">
              <w:rPr>
                <w:sz w:val="18"/>
                <w:szCs w:val="18"/>
              </w:rPr>
              <w:t xml:space="preserve"> massimi: si conti che un anno di tragitti in automobile – pari a oltre 11mila chilometri – oppure un volo Milano-New York-Monaco corrispondono a 1,5 tonnellate di anidride carbonica emesse. Ne produce 2,5 tonnellate una famiglia di tre persone che in dodici mesi consuma 4.100 kWh di energia elettrica e quasi il quadruplo con il riscaldamento a olio combustibile (2000 litri/anno). </w:t>
            </w:r>
          </w:p>
          <w:p w14:paraId="179C1E58" w14:textId="77777777" w:rsidR="002B36FF" w:rsidRPr="002B36FF" w:rsidRDefault="002B36FF" w:rsidP="00AE0FA6">
            <w:pPr>
              <w:jc w:val="both"/>
              <w:rPr>
                <w:sz w:val="18"/>
                <w:szCs w:val="18"/>
              </w:rPr>
            </w:pPr>
          </w:p>
          <w:p w14:paraId="2AED9D0A" w14:textId="00253208" w:rsidR="002B36FF" w:rsidRDefault="002B36FF" w:rsidP="00AE0FA6">
            <w:pPr>
              <w:jc w:val="both"/>
              <w:rPr>
                <w:sz w:val="18"/>
                <w:szCs w:val="18"/>
              </w:rPr>
            </w:pPr>
            <w:r w:rsidRPr="002B36FF">
              <w:rPr>
                <w:sz w:val="18"/>
                <w:szCs w:val="18"/>
              </w:rPr>
              <w:t xml:space="preserve">Nella produzione di legno da costruzione serve di regola poca energia. Nel corso di tutto il processo che comprende l’abbattimento degli alberi, la raccolta, la lavorazione dei prodotti (taglio con sega, trattamento superficiale, assemblaggio, ecc.), ma anche il trasporto fino al cantiere, il montaggio e la sua dismissione, il consumo energetico – detto anche “energia grigia” – è </w:t>
            </w:r>
            <w:proofErr w:type="gramStart"/>
            <w:r w:rsidRPr="002B36FF">
              <w:rPr>
                <w:sz w:val="18"/>
                <w:szCs w:val="18"/>
              </w:rPr>
              <w:t>di gran lunga</w:t>
            </w:r>
            <w:proofErr w:type="gramEnd"/>
            <w:r w:rsidRPr="002B36FF">
              <w:rPr>
                <w:sz w:val="18"/>
                <w:szCs w:val="18"/>
              </w:rPr>
              <w:t xml:space="preserve"> inferiore rispetto agli altri sistemi edilizi. Un metro cubo in legno massiccio o una costruzione in telaio </w:t>
            </w:r>
            <w:proofErr w:type="gramStart"/>
            <w:r w:rsidRPr="002B36FF">
              <w:rPr>
                <w:sz w:val="18"/>
                <w:szCs w:val="18"/>
              </w:rPr>
              <w:t>impediscono</w:t>
            </w:r>
            <w:proofErr w:type="gramEnd"/>
            <w:r w:rsidRPr="002B36FF">
              <w:rPr>
                <w:sz w:val="18"/>
                <w:szCs w:val="18"/>
              </w:rPr>
              <w:t xml:space="preserve"> che vengano rilasciati nell’aria rispettivamente 88 chili e 45 chili di CO</w:t>
            </w:r>
            <w:r w:rsidRPr="002B36FF">
              <w:rPr>
                <w:sz w:val="18"/>
                <w:szCs w:val="18"/>
                <w:vertAlign w:val="subscript"/>
              </w:rPr>
              <w:t>2</w:t>
            </w:r>
            <w:r w:rsidRPr="002B36FF">
              <w:rPr>
                <w:sz w:val="18"/>
                <w:szCs w:val="18"/>
              </w:rPr>
              <w:t xml:space="preserve">, rispetto ai 57 chili emessi invece per una parete in mattoni o gli 82 chili se in cemento. Rispetto alle costruzioni in laterizio, il consumo di energia totale del legno è circa il 75% in meno: l’enorme differenza deriva dal fatto che il mattone, per essere prodotto, </w:t>
            </w:r>
            <w:proofErr w:type="gramStart"/>
            <w:r w:rsidRPr="002B36FF">
              <w:rPr>
                <w:sz w:val="18"/>
                <w:szCs w:val="18"/>
              </w:rPr>
              <w:t>necessita di</w:t>
            </w:r>
            <w:proofErr w:type="gramEnd"/>
            <w:r w:rsidRPr="002B36FF">
              <w:rPr>
                <w:sz w:val="18"/>
                <w:szCs w:val="18"/>
              </w:rPr>
              <w:t xml:space="preserve"> temperature molto elevate per tempi lunghi, </w:t>
            </w:r>
            <w:r w:rsidRPr="002B36FF">
              <w:rPr>
                <w:sz w:val="18"/>
                <w:szCs w:val="18"/>
              </w:rPr>
              <w:lastRenderedPageBreak/>
              <w:t xml:space="preserve">generate in maggior parte con combustibili fossili. Mentre i calcinacci minerali devono poi essere smaltiti in modo separato e costoso, il legno non è mai un rifiuto: un’abitazione smontata dopo il suo impiego lascia dietro di sé solo prezioso legno che può essere in parte riutilizzato oppure sfruttato per la produzione di energia. Nel processo di combustione si disperde solo una certa quantità di carbonio intrappolato nel listello di legno e si completa così il ciclo naturale. </w:t>
            </w:r>
            <w:proofErr w:type="gramStart"/>
            <w:r w:rsidRPr="002B36FF">
              <w:rPr>
                <w:sz w:val="18"/>
                <w:szCs w:val="18"/>
              </w:rPr>
              <w:t>Ulteriori</w:t>
            </w:r>
            <w:proofErr w:type="gramEnd"/>
            <w:r w:rsidRPr="002B36FF">
              <w:rPr>
                <w:sz w:val="18"/>
                <w:szCs w:val="18"/>
              </w:rPr>
              <w:t xml:space="preserve"> vantaggi risiedono nel fatto che, quando è prodotto e assemblato nella stessa regione, i trasporti, i costi e l’inquinamento sono ridotti al minimo rispetto agli altri materiali non rinnovabili. </w:t>
            </w:r>
          </w:p>
          <w:p w14:paraId="148A8A11" w14:textId="77777777" w:rsidR="00713A03" w:rsidRDefault="00713A03" w:rsidP="00AE0FA6">
            <w:pPr>
              <w:jc w:val="both"/>
              <w:rPr>
                <w:sz w:val="18"/>
                <w:szCs w:val="18"/>
              </w:rPr>
            </w:pPr>
          </w:p>
          <w:p w14:paraId="21DF585D" w14:textId="77777777" w:rsidR="00713A03" w:rsidRDefault="00713A03" w:rsidP="00AE0FA6">
            <w:pPr>
              <w:jc w:val="both"/>
              <w:rPr>
                <w:sz w:val="18"/>
                <w:szCs w:val="18"/>
              </w:rPr>
            </w:pPr>
          </w:p>
          <w:p w14:paraId="104DA561" w14:textId="26AB84E2" w:rsidR="00713A03" w:rsidRDefault="004D14FE" w:rsidP="00AE0FA6">
            <w:pPr>
              <w:jc w:val="both"/>
              <w:rPr>
                <w:sz w:val="18"/>
                <w:szCs w:val="18"/>
              </w:rPr>
            </w:pPr>
            <w:r>
              <w:rPr>
                <w:noProof/>
                <w:sz w:val="18"/>
                <w:szCs w:val="18"/>
                <w:lang w:eastAsia="it-IT"/>
              </w:rPr>
              <w:drawing>
                <wp:inline distT="0" distB="0" distL="0" distR="0" wp14:anchorId="1D158F18" wp14:editId="40D2DD50">
                  <wp:extent cx="4576868" cy="20670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box.jpg"/>
                          <pic:cNvPicPr/>
                        </pic:nvPicPr>
                        <pic:blipFill>
                          <a:blip r:embed="rId9">
                            <a:extLst>
                              <a:ext uri="{28A0092B-C50C-407E-A947-70E740481C1C}">
                                <a14:useLocalDpi xmlns:a14="http://schemas.microsoft.com/office/drawing/2010/main" val="0"/>
                              </a:ext>
                            </a:extLst>
                          </a:blip>
                          <a:stretch>
                            <a:fillRect/>
                          </a:stretch>
                        </pic:blipFill>
                        <pic:spPr>
                          <a:xfrm>
                            <a:off x="0" y="0"/>
                            <a:ext cx="4578177" cy="2067664"/>
                          </a:xfrm>
                          <a:prstGeom prst="rect">
                            <a:avLst/>
                          </a:prstGeom>
                        </pic:spPr>
                      </pic:pic>
                    </a:graphicData>
                  </a:graphic>
                </wp:inline>
              </w:drawing>
            </w:r>
          </w:p>
          <w:p w14:paraId="150496A9" w14:textId="77777777" w:rsidR="004D14FE" w:rsidRDefault="004D14FE" w:rsidP="00AE0FA6">
            <w:pPr>
              <w:jc w:val="both"/>
              <w:rPr>
                <w:sz w:val="18"/>
                <w:szCs w:val="18"/>
              </w:rPr>
            </w:pPr>
          </w:p>
          <w:p w14:paraId="6C14871E" w14:textId="77777777" w:rsidR="004D14FE" w:rsidRDefault="004D14FE" w:rsidP="00AE0FA6">
            <w:pPr>
              <w:jc w:val="both"/>
              <w:rPr>
                <w:sz w:val="18"/>
                <w:szCs w:val="18"/>
              </w:rPr>
            </w:pPr>
          </w:p>
          <w:p w14:paraId="41FEEA87" w14:textId="77777777" w:rsidR="00713A03" w:rsidRPr="00713A03" w:rsidRDefault="00713A03" w:rsidP="00AE0FA6">
            <w:pPr>
              <w:tabs>
                <w:tab w:val="left" w:pos="1440"/>
              </w:tabs>
              <w:jc w:val="both"/>
              <w:rPr>
                <w:sz w:val="18"/>
                <w:szCs w:val="18"/>
              </w:rPr>
            </w:pPr>
            <w:r w:rsidRPr="00713A03">
              <w:rPr>
                <w:i/>
                <w:sz w:val="18"/>
                <w:szCs w:val="18"/>
              </w:rPr>
              <w:t>Il WOODBOX che sarà esposto dall’</w:t>
            </w:r>
            <w:proofErr w:type="gramStart"/>
            <w:r w:rsidRPr="00713A03">
              <w:rPr>
                <w:i/>
                <w:sz w:val="18"/>
                <w:szCs w:val="18"/>
              </w:rPr>
              <w:t>8</w:t>
            </w:r>
            <w:proofErr w:type="gramEnd"/>
            <w:r w:rsidRPr="00713A03">
              <w:rPr>
                <w:i/>
                <w:sz w:val="18"/>
                <w:szCs w:val="18"/>
              </w:rPr>
              <w:t xml:space="preserve"> al 18 maggio 2015 in piazza Vittorio Veneto è costituito da 22 metri cubi di legno. La quantità di CO</w:t>
            </w:r>
            <w:r w:rsidRPr="00713A03">
              <w:rPr>
                <w:i/>
                <w:sz w:val="18"/>
                <w:szCs w:val="18"/>
                <w:vertAlign w:val="subscript"/>
              </w:rPr>
              <w:t>2</w:t>
            </w:r>
            <w:r w:rsidRPr="00713A03">
              <w:rPr>
                <w:i/>
                <w:sz w:val="18"/>
                <w:szCs w:val="18"/>
              </w:rPr>
              <w:t xml:space="preserve"> trattenuta corrisponde alla </w:t>
            </w:r>
            <w:proofErr w:type="gramStart"/>
            <w:r w:rsidRPr="00713A03">
              <w:rPr>
                <w:i/>
                <w:sz w:val="18"/>
                <w:szCs w:val="18"/>
              </w:rPr>
              <w:t>quantità</w:t>
            </w:r>
            <w:proofErr w:type="gramEnd"/>
            <w:r w:rsidRPr="00713A03">
              <w:rPr>
                <w:i/>
                <w:sz w:val="18"/>
                <w:szCs w:val="18"/>
              </w:rPr>
              <w:t xml:space="preserve"> emessa da una vettura moderna in 180.000 chilometri. </w:t>
            </w:r>
          </w:p>
          <w:p w14:paraId="17DD4764" w14:textId="26C2FB53" w:rsidR="008B74BD" w:rsidRPr="002B36FF" w:rsidRDefault="008B74BD" w:rsidP="002B36FF">
            <w:pPr>
              <w:tabs>
                <w:tab w:val="left" w:pos="1440"/>
              </w:tabs>
              <w:rPr>
                <w:sz w:val="18"/>
                <w:szCs w:val="18"/>
              </w:rPr>
            </w:pPr>
          </w:p>
        </w:tc>
      </w:tr>
    </w:tbl>
    <w:p w14:paraId="22BD8B9F" w14:textId="70AC16D9" w:rsidR="000F676B" w:rsidRPr="00713A03" w:rsidRDefault="000F676B" w:rsidP="00713A03">
      <w:pPr>
        <w:tabs>
          <w:tab w:val="left" w:pos="3330"/>
        </w:tabs>
        <w:rPr>
          <w:sz w:val="18"/>
          <w:szCs w:val="18"/>
        </w:rPr>
      </w:pPr>
    </w:p>
    <w:sectPr w:rsidR="000F676B" w:rsidRPr="00713A03" w:rsidSect="009051C7">
      <w:headerReference w:type="default" r:id="rId10"/>
      <w:footerReference w:type="default" r:id="rId11"/>
      <w:headerReference w:type="first" r:id="rId12"/>
      <w:footerReference w:type="first" r:id="rId13"/>
      <w:pgSz w:w="11906" w:h="16838"/>
      <w:pgMar w:top="3430" w:right="1134" w:bottom="1985" w:left="181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50F1" w14:textId="77777777" w:rsidR="00A63848" w:rsidRDefault="00A63848">
      <w:r>
        <w:separator/>
      </w:r>
    </w:p>
  </w:endnote>
  <w:endnote w:type="continuationSeparator" w:id="0">
    <w:p w14:paraId="3A6601ED" w14:textId="77777777" w:rsidR="00A63848" w:rsidRDefault="00A6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AB1A2" w14:textId="77777777" w:rsidR="00A63848" w:rsidRDefault="00A63848">
    <w:pPr>
      <w:pStyle w:val="Pidipagina"/>
    </w:pPr>
    <w:r>
      <w:rPr>
        <w:noProof/>
        <w:lang w:eastAsia="it-IT"/>
      </w:rPr>
      <w:drawing>
        <wp:anchor distT="0" distB="0" distL="114300" distR="114300" simplePos="0" relativeHeight="251658752" behindDoc="1" locked="0" layoutInCell="1" allowOverlap="1" wp14:anchorId="7E0508AC" wp14:editId="222AAB2B">
          <wp:simplePos x="0" y="0"/>
          <wp:positionH relativeFrom="page">
            <wp:posOffset>1151890</wp:posOffset>
          </wp:positionH>
          <wp:positionV relativeFrom="page">
            <wp:posOffset>9796780</wp:posOffset>
          </wp:positionV>
          <wp:extent cx="5683250" cy="425450"/>
          <wp:effectExtent l="0" t="0" r="6350" b="6350"/>
          <wp:wrapNone/>
          <wp:docPr id="32" name="Immagine 32" descr="promo_legno-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mo_legno-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0" cy="42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301D" w14:textId="77777777" w:rsidR="00A63848" w:rsidRDefault="00A63848">
    <w:pPr>
      <w:pStyle w:val="Pidipagina"/>
    </w:pPr>
    <w:r>
      <w:rPr>
        <w:noProof/>
        <w:lang w:eastAsia="it-IT"/>
      </w:rPr>
      <w:drawing>
        <wp:anchor distT="0" distB="0" distL="114300" distR="114300" simplePos="0" relativeHeight="251657728" behindDoc="1" locked="0" layoutInCell="1" allowOverlap="1" wp14:anchorId="79896B81" wp14:editId="27EE320B">
          <wp:simplePos x="0" y="0"/>
          <wp:positionH relativeFrom="page">
            <wp:posOffset>1151890</wp:posOffset>
          </wp:positionH>
          <wp:positionV relativeFrom="page">
            <wp:posOffset>9796780</wp:posOffset>
          </wp:positionV>
          <wp:extent cx="5683250" cy="425450"/>
          <wp:effectExtent l="0" t="0" r="6350" b="6350"/>
          <wp:wrapNone/>
          <wp:docPr id="31" name="Immagine 31" descr="promo_legno-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mo_legno-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0" cy="42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CC43" w14:textId="77777777" w:rsidR="00A63848" w:rsidRDefault="00A63848">
      <w:r>
        <w:separator/>
      </w:r>
    </w:p>
  </w:footnote>
  <w:footnote w:type="continuationSeparator" w:id="0">
    <w:p w14:paraId="3588DDC1" w14:textId="77777777" w:rsidR="00A63848" w:rsidRDefault="00A638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1E291" w14:textId="77777777" w:rsidR="00A63848" w:rsidRDefault="00A63848">
    <w:pPr>
      <w:pStyle w:val="Corpodeltesto"/>
    </w:pPr>
    <w:r>
      <w:rPr>
        <w:noProof/>
        <w:lang w:eastAsia="it-IT"/>
      </w:rPr>
      <w:drawing>
        <wp:anchor distT="0" distB="0" distL="114300" distR="114300" simplePos="0" relativeHeight="251662848" behindDoc="1" locked="0" layoutInCell="1" allowOverlap="1" wp14:anchorId="68DD2DC6" wp14:editId="0831EAB0">
          <wp:simplePos x="0" y="0"/>
          <wp:positionH relativeFrom="page">
            <wp:posOffset>5513705</wp:posOffset>
          </wp:positionH>
          <wp:positionV relativeFrom="page">
            <wp:posOffset>872490</wp:posOffset>
          </wp:positionV>
          <wp:extent cx="1600200" cy="869950"/>
          <wp:effectExtent l="0" t="0" r="0" b="0"/>
          <wp:wrapNone/>
          <wp:docPr id="2" name="Immagine 2" descr="Wood-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od-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D86F5" w14:textId="77777777" w:rsidR="00A63848" w:rsidRDefault="00A63848">
    <w:pPr>
      <w:framePr w:w="2659" w:h="578" w:hSpace="142" w:wrap="around" w:vAnchor="page" w:hAnchor="page" w:x="1815" w:y="1419"/>
      <w:rPr>
        <w:rFonts w:ascii="Helvetica" w:hAnsi="Helvetica"/>
      </w:rPr>
    </w:pPr>
    <w:r>
      <w:rPr>
        <w:rStyle w:val="Numeropagina"/>
        <w:rFonts w:ascii="Helvetica" w:hAnsi="Helvetica"/>
      </w:rPr>
      <w:t xml:space="preserve">Foglio </w:t>
    </w:r>
    <w:r>
      <w:rPr>
        <w:rStyle w:val="Numeropagina"/>
        <w:rFonts w:ascii="Helvetica" w:hAnsi="Helvetica"/>
      </w:rPr>
      <w:fldChar w:fldCharType="begin"/>
    </w:r>
    <w:r>
      <w:rPr>
        <w:rStyle w:val="Numeropagina"/>
        <w:rFonts w:ascii="Helvetica" w:hAnsi="Helvetica"/>
      </w:rPr>
      <w:instrText xml:space="preserve"> PAGE </w:instrText>
    </w:r>
    <w:r>
      <w:rPr>
        <w:rStyle w:val="Numeropagina"/>
        <w:rFonts w:ascii="Helvetica" w:hAnsi="Helvetica"/>
      </w:rPr>
      <w:fldChar w:fldCharType="separate"/>
    </w:r>
    <w:r w:rsidR="006D0596">
      <w:rPr>
        <w:rStyle w:val="Numeropagina"/>
        <w:rFonts w:ascii="Helvetica" w:hAnsi="Helvetica"/>
        <w:noProof/>
      </w:rPr>
      <w:t>2</w:t>
    </w:r>
    <w:r>
      <w:rPr>
        <w:rStyle w:val="Numeropagina"/>
        <w:rFonts w:ascii="Helvetica" w:hAnsi="Helvetica"/>
      </w:rPr>
      <w:fldChar w:fldCharType="end"/>
    </w:r>
    <w:r>
      <w:rPr>
        <w:rStyle w:val="Numeropagina"/>
        <w:rFonts w:ascii="Helvetica" w:hAnsi="Helvetica"/>
      </w:rPr>
      <w:t>/</w:t>
    </w:r>
    <w:r>
      <w:rPr>
        <w:rStyle w:val="Numeropagina"/>
        <w:rFonts w:ascii="Helvetica" w:hAnsi="Helvetica"/>
      </w:rPr>
      <w:fldChar w:fldCharType="begin"/>
    </w:r>
    <w:r>
      <w:rPr>
        <w:rStyle w:val="Numeropagina"/>
        <w:rFonts w:ascii="Helvetica" w:hAnsi="Helvetica"/>
      </w:rPr>
      <w:instrText xml:space="preserve"> NUMPAGES </w:instrText>
    </w:r>
    <w:r>
      <w:rPr>
        <w:rStyle w:val="Numeropagina"/>
        <w:rFonts w:ascii="Helvetica" w:hAnsi="Helvetica"/>
      </w:rPr>
      <w:fldChar w:fldCharType="separate"/>
    </w:r>
    <w:r w:rsidR="006D0596">
      <w:rPr>
        <w:rStyle w:val="Numeropagina"/>
        <w:rFonts w:ascii="Helvetica" w:hAnsi="Helvetica"/>
        <w:noProof/>
      </w:rPr>
      <w:t>2</w:t>
    </w:r>
    <w:r>
      <w:rPr>
        <w:rStyle w:val="Numeropagina"/>
        <w:rFonts w:ascii="Helvetica" w:hAnsi="Helvetica"/>
      </w:rPr>
      <w:fldChar w:fldCharType="end"/>
    </w:r>
    <w:proofErr w:type="gramStart"/>
    <w:r>
      <w:rPr>
        <w:rStyle w:val="Numeropagina"/>
        <w:rFonts w:ascii="Helvetica" w:hAnsi="Helvetica"/>
      </w:rPr>
      <w:t xml:space="preserve">  </w:t>
    </w:r>
    <w:proofErr w:type="gramEnd"/>
  </w:p>
  <w:p w14:paraId="377F13E9" w14:textId="77777777" w:rsidR="00A63848" w:rsidRDefault="00A63848">
    <w:pPr>
      <w:pStyle w:val="Corpodeltesto"/>
    </w:pPr>
  </w:p>
  <w:p w14:paraId="212BA03F" w14:textId="77777777" w:rsidR="00A63848" w:rsidRDefault="00A6384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0196" w14:textId="77777777" w:rsidR="00A63848" w:rsidRDefault="00A63848">
    <w:pPr>
      <w:pStyle w:val="Intestazione"/>
      <w:spacing w:before="240" w:line="480" w:lineRule="exact"/>
      <w:rPr>
        <w:rFonts w:ascii="Helvetica" w:hAnsi="Helvetica"/>
        <w:sz w:val="18"/>
      </w:rPr>
    </w:pPr>
    <w:r>
      <w:rPr>
        <w:noProof/>
        <w:lang w:eastAsia="it-IT"/>
      </w:rPr>
      <w:drawing>
        <wp:anchor distT="0" distB="0" distL="114300" distR="114300" simplePos="0" relativeHeight="251660800" behindDoc="1" locked="0" layoutInCell="1" allowOverlap="1" wp14:anchorId="59F54DB0" wp14:editId="32B23434">
          <wp:simplePos x="0" y="0"/>
          <wp:positionH relativeFrom="page">
            <wp:posOffset>5361305</wp:posOffset>
          </wp:positionH>
          <wp:positionV relativeFrom="page">
            <wp:posOffset>720090</wp:posOffset>
          </wp:positionV>
          <wp:extent cx="1600200" cy="869950"/>
          <wp:effectExtent l="0" t="0" r="0" b="0"/>
          <wp:wrapNone/>
          <wp:docPr id="26" name="Immagine 26" descr="Wood-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od-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592D6" w14:textId="77777777" w:rsidR="00A63848" w:rsidRDefault="00A63848">
    <w:pPr>
      <w:pStyle w:val="Intestazione"/>
      <w:spacing w:before="240" w:line="480" w:lineRule="exact"/>
      <w:rPr>
        <w:rFonts w:ascii="Helvetica" w:hAnsi="Helvetica"/>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A5E96"/>
    <w:multiLevelType w:val="hybridMultilevel"/>
    <w:tmpl w:val="CDA2419C"/>
    <w:lvl w:ilvl="0" w:tplc="0407000F">
      <w:start w:val="1"/>
      <w:numFmt w:val="decimal"/>
      <w:lvlText w:val="%1."/>
      <w:lvlJc w:val="left"/>
      <w:pPr>
        <w:ind w:left="502"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BD"/>
    <w:rsid w:val="00095235"/>
    <w:rsid w:val="000F676B"/>
    <w:rsid w:val="000F7765"/>
    <w:rsid w:val="0013666E"/>
    <w:rsid w:val="0016494E"/>
    <w:rsid w:val="0018051F"/>
    <w:rsid w:val="0018796F"/>
    <w:rsid w:val="001B046A"/>
    <w:rsid w:val="001B407A"/>
    <w:rsid w:val="00296ABF"/>
    <w:rsid w:val="002A1711"/>
    <w:rsid w:val="002B36FF"/>
    <w:rsid w:val="002F2C8E"/>
    <w:rsid w:val="00323A8C"/>
    <w:rsid w:val="003362F0"/>
    <w:rsid w:val="003C1949"/>
    <w:rsid w:val="003C222F"/>
    <w:rsid w:val="003D54AD"/>
    <w:rsid w:val="003F36FB"/>
    <w:rsid w:val="00446B7C"/>
    <w:rsid w:val="00451A4D"/>
    <w:rsid w:val="004753CF"/>
    <w:rsid w:val="004C184D"/>
    <w:rsid w:val="004D14FE"/>
    <w:rsid w:val="0050562F"/>
    <w:rsid w:val="00534D4C"/>
    <w:rsid w:val="00563D51"/>
    <w:rsid w:val="005B1244"/>
    <w:rsid w:val="005C64C5"/>
    <w:rsid w:val="005F1E5D"/>
    <w:rsid w:val="00600B05"/>
    <w:rsid w:val="00616DA6"/>
    <w:rsid w:val="0063068C"/>
    <w:rsid w:val="00644541"/>
    <w:rsid w:val="006D0596"/>
    <w:rsid w:val="006F30EE"/>
    <w:rsid w:val="007040A0"/>
    <w:rsid w:val="00713A03"/>
    <w:rsid w:val="007412E1"/>
    <w:rsid w:val="00747E43"/>
    <w:rsid w:val="007B1D87"/>
    <w:rsid w:val="007D23A5"/>
    <w:rsid w:val="007D54BB"/>
    <w:rsid w:val="00866F5C"/>
    <w:rsid w:val="008726ED"/>
    <w:rsid w:val="00872851"/>
    <w:rsid w:val="008B48B1"/>
    <w:rsid w:val="008B74BD"/>
    <w:rsid w:val="008F4230"/>
    <w:rsid w:val="009051C7"/>
    <w:rsid w:val="00910D34"/>
    <w:rsid w:val="00930FE6"/>
    <w:rsid w:val="00933014"/>
    <w:rsid w:val="00945C77"/>
    <w:rsid w:val="009476B2"/>
    <w:rsid w:val="009D3815"/>
    <w:rsid w:val="009D55E6"/>
    <w:rsid w:val="009E6AC5"/>
    <w:rsid w:val="009E6AD9"/>
    <w:rsid w:val="00A23B76"/>
    <w:rsid w:val="00A31C0D"/>
    <w:rsid w:val="00A538CA"/>
    <w:rsid w:val="00A63069"/>
    <w:rsid w:val="00A63848"/>
    <w:rsid w:val="00A72323"/>
    <w:rsid w:val="00AA59D6"/>
    <w:rsid w:val="00AC5DDC"/>
    <w:rsid w:val="00AE0FA6"/>
    <w:rsid w:val="00B03911"/>
    <w:rsid w:val="00B05B81"/>
    <w:rsid w:val="00B24A42"/>
    <w:rsid w:val="00B353D1"/>
    <w:rsid w:val="00B57A76"/>
    <w:rsid w:val="00B63584"/>
    <w:rsid w:val="00B640F2"/>
    <w:rsid w:val="00B812A2"/>
    <w:rsid w:val="00BB290A"/>
    <w:rsid w:val="00BC7C12"/>
    <w:rsid w:val="00BD70B7"/>
    <w:rsid w:val="00BE24D2"/>
    <w:rsid w:val="00C17453"/>
    <w:rsid w:val="00C6696F"/>
    <w:rsid w:val="00CB15F1"/>
    <w:rsid w:val="00CE2271"/>
    <w:rsid w:val="00CF21C7"/>
    <w:rsid w:val="00D2096B"/>
    <w:rsid w:val="00D341DD"/>
    <w:rsid w:val="00DB1837"/>
    <w:rsid w:val="00DF6CD8"/>
    <w:rsid w:val="00E214EB"/>
    <w:rsid w:val="00E31219"/>
    <w:rsid w:val="00E478CD"/>
    <w:rsid w:val="00E507C0"/>
    <w:rsid w:val="00EA4C20"/>
    <w:rsid w:val="00EF46EA"/>
    <w:rsid w:val="00F03A6E"/>
    <w:rsid w:val="00F16571"/>
    <w:rsid w:val="00F6444B"/>
    <w:rsid w:val="00FA23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8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Fließtext"/>
    <w:qFormat/>
    <w:rsid w:val="007412E1"/>
    <w:pPr>
      <w:spacing w:line="252" w:lineRule="auto"/>
    </w:pPr>
    <w:rPr>
      <w:rFonts w:ascii="Arial" w:hAnsi="Arial"/>
      <w:spacing w:val="2"/>
      <w:sz w:val="19"/>
      <w:szCs w:val="19"/>
      <w:lang w:eastAsia="de-DE"/>
    </w:rPr>
  </w:style>
  <w:style w:type="paragraph" w:styleId="Titolo1">
    <w:name w:val="heading 1"/>
    <w:aliases w:val="Fett"/>
    <w:next w:val="Normale"/>
    <w:link w:val="Titolo1Carattere"/>
    <w:uiPriority w:val="9"/>
    <w:qFormat/>
    <w:rsid w:val="00B812A2"/>
    <w:pPr>
      <w:keepNext/>
      <w:spacing w:line="252" w:lineRule="auto"/>
      <w:outlineLvl w:val="0"/>
    </w:pPr>
    <w:rPr>
      <w:rFonts w:ascii="Arial" w:eastAsia="ＭＳ ゴシック" w:hAnsi="Arial"/>
      <w:b/>
      <w:bCs/>
      <w:spacing w:val="9"/>
      <w:kern w:val="32"/>
      <w:sz w:val="19"/>
      <w:szCs w:val="19"/>
      <w:lang w:val="de-DE" w:eastAsia="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pPr>
      <w:tabs>
        <w:tab w:val="center" w:pos="4536"/>
        <w:tab w:val="right" w:pos="9072"/>
      </w:tabs>
    </w:pPr>
  </w:style>
  <w:style w:type="paragraph" w:styleId="Corpodeltesto">
    <w:name w:val="Body Text"/>
    <w:basedOn w:val="Normale"/>
    <w:rPr>
      <w:rFonts w:ascii="Helvetica" w:hAnsi="Helvetica"/>
    </w:rPr>
  </w:style>
  <w:style w:type="character" w:styleId="Numeropagina">
    <w:name w:val="page number"/>
    <w:basedOn w:val="Caratterepredefinito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Listenabsatz1">
    <w:name w:val="Listenabsatz1"/>
    <w:basedOn w:val="Normale"/>
    <w:rsid w:val="00B57A76"/>
    <w:pPr>
      <w:ind w:left="720"/>
      <w:contextualSpacing/>
    </w:pPr>
    <w:rPr>
      <w:rFonts w:ascii="Cambria" w:eastAsia="MS Minngs" w:hAnsi="Cambria"/>
      <w:sz w:val="24"/>
      <w:szCs w:val="24"/>
    </w:rPr>
  </w:style>
  <w:style w:type="paragraph" w:styleId="Testofumetto">
    <w:name w:val="Balloon Text"/>
    <w:basedOn w:val="Normale"/>
    <w:link w:val="TestofumettoCarattere"/>
    <w:uiPriority w:val="99"/>
    <w:semiHidden/>
    <w:unhideWhenUsed/>
    <w:rsid w:val="009476B2"/>
    <w:rPr>
      <w:rFonts w:ascii="Tahoma" w:hAnsi="Tahoma" w:cs="Tahoma"/>
      <w:sz w:val="16"/>
      <w:szCs w:val="16"/>
    </w:rPr>
  </w:style>
  <w:style w:type="character" w:customStyle="1" w:styleId="TestofumettoCarattere">
    <w:name w:val="Testo fumetto Carattere"/>
    <w:link w:val="Testofumetto"/>
    <w:uiPriority w:val="99"/>
    <w:semiHidden/>
    <w:rsid w:val="009476B2"/>
    <w:rPr>
      <w:rFonts w:ascii="Tahoma" w:hAnsi="Tahoma" w:cs="Tahoma"/>
      <w:sz w:val="16"/>
      <w:szCs w:val="16"/>
      <w:lang w:val="de-DE" w:eastAsia="de-DE"/>
    </w:rPr>
  </w:style>
  <w:style w:type="paragraph" w:customStyle="1" w:styleId="EinfAbs">
    <w:name w:val="[Einf. Abs.]"/>
    <w:basedOn w:val="Normale"/>
    <w:uiPriority w:val="99"/>
    <w:rsid w:val="009D3815"/>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de-AT"/>
    </w:rPr>
  </w:style>
  <w:style w:type="paragraph" w:styleId="Nessunaspaziatura">
    <w:name w:val="No Spacing"/>
    <w:aliases w:val="Grüne Auszeichnung"/>
    <w:uiPriority w:val="1"/>
    <w:qFormat/>
    <w:rsid w:val="00AC5DDC"/>
    <w:pPr>
      <w:spacing w:line="252" w:lineRule="auto"/>
    </w:pPr>
    <w:rPr>
      <w:rFonts w:ascii="Arial" w:hAnsi="Arial"/>
      <w:color w:val="59AA42"/>
      <w:sz w:val="19"/>
      <w:lang w:val="de-DE" w:eastAsia="de-DE"/>
    </w:rPr>
  </w:style>
  <w:style w:type="character" w:customStyle="1" w:styleId="Titolo1Carattere">
    <w:name w:val="Titolo 1 Carattere"/>
    <w:aliases w:val="Fett Carattere"/>
    <w:link w:val="Titolo1"/>
    <w:uiPriority w:val="9"/>
    <w:rsid w:val="00B812A2"/>
    <w:rPr>
      <w:rFonts w:ascii="Arial" w:eastAsia="ＭＳ ゴシック" w:hAnsi="Arial" w:cs="Times New Roman"/>
      <w:b/>
      <w:bCs/>
      <w:spacing w:val="9"/>
      <w:kern w:val="32"/>
      <w:sz w:val="19"/>
      <w:szCs w:val="19"/>
      <w:lang w:val="de-DE"/>
    </w:rPr>
  </w:style>
  <w:style w:type="character" w:customStyle="1" w:styleId="IntestazioneCarattere">
    <w:name w:val="Intestazione Carattere"/>
    <w:link w:val="Intestazione"/>
    <w:uiPriority w:val="99"/>
    <w:rsid w:val="008B74BD"/>
    <w:rPr>
      <w:rFonts w:ascii="Arial" w:hAnsi="Arial"/>
      <w:spacing w:val="2"/>
      <w:sz w:val="19"/>
      <w:szCs w:val="19"/>
      <w:lang w:val="de-DE" w:eastAsia="de-DE"/>
    </w:rPr>
  </w:style>
  <w:style w:type="table" w:styleId="Grigliatabella">
    <w:name w:val="Table Grid"/>
    <w:basedOn w:val="Tabellanormale"/>
    <w:rsid w:val="008B74B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Fließtext"/>
    <w:qFormat/>
    <w:rsid w:val="007412E1"/>
    <w:pPr>
      <w:spacing w:line="252" w:lineRule="auto"/>
    </w:pPr>
    <w:rPr>
      <w:rFonts w:ascii="Arial" w:hAnsi="Arial"/>
      <w:spacing w:val="2"/>
      <w:sz w:val="19"/>
      <w:szCs w:val="19"/>
      <w:lang w:eastAsia="de-DE"/>
    </w:rPr>
  </w:style>
  <w:style w:type="paragraph" w:styleId="Titolo1">
    <w:name w:val="heading 1"/>
    <w:aliases w:val="Fett"/>
    <w:next w:val="Normale"/>
    <w:link w:val="Titolo1Carattere"/>
    <w:uiPriority w:val="9"/>
    <w:qFormat/>
    <w:rsid w:val="00B812A2"/>
    <w:pPr>
      <w:keepNext/>
      <w:spacing w:line="252" w:lineRule="auto"/>
      <w:outlineLvl w:val="0"/>
    </w:pPr>
    <w:rPr>
      <w:rFonts w:ascii="Arial" w:eastAsia="ＭＳ ゴシック" w:hAnsi="Arial"/>
      <w:b/>
      <w:bCs/>
      <w:spacing w:val="9"/>
      <w:kern w:val="32"/>
      <w:sz w:val="19"/>
      <w:szCs w:val="19"/>
      <w:lang w:val="de-DE" w:eastAsia="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pPr>
      <w:tabs>
        <w:tab w:val="center" w:pos="4536"/>
        <w:tab w:val="right" w:pos="9072"/>
      </w:tabs>
    </w:pPr>
  </w:style>
  <w:style w:type="paragraph" w:styleId="Corpodeltesto">
    <w:name w:val="Body Text"/>
    <w:basedOn w:val="Normale"/>
    <w:rPr>
      <w:rFonts w:ascii="Helvetica" w:hAnsi="Helvetica"/>
    </w:rPr>
  </w:style>
  <w:style w:type="character" w:styleId="Numeropagina">
    <w:name w:val="page number"/>
    <w:basedOn w:val="Caratterepredefinito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Listenabsatz1">
    <w:name w:val="Listenabsatz1"/>
    <w:basedOn w:val="Normale"/>
    <w:rsid w:val="00B57A76"/>
    <w:pPr>
      <w:ind w:left="720"/>
      <w:contextualSpacing/>
    </w:pPr>
    <w:rPr>
      <w:rFonts w:ascii="Cambria" w:eastAsia="MS Minngs" w:hAnsi="Cambria"/>
      <w:sz w:val="24"/>
      <w:szCs w:val="24"/>
    </w:rPr>
  </w:style>
  <w:style w:type="paragraph" w:styleId="Testofumetto">
    <w:name w:val="Balloon Text"/>
    <w:basedOn w:val="Normale"/>
    <w:link w:val="TestofumettoCarattere"/>
    <w:uiPriority w:val="99"/>
    <w:semiHidden/>
    <w:unhideWhenUsed/>
    <w:rsid w:val="009476B2"/>
    <w:rPr>
      <w:rFonts w:ascii="Tahoma" w:hAnsi="Tahoma" w:cs="Tahoma"/>
      <w:sz w:val="16"/>
      <w:szCs w:val="16"/>
    </w:rPr>
  </w:style>
  <w:style w:type="character" w:customStyle="1" w:styleId="TestofumettoCarattere">
    <w:name w:val="Testo fumetto Carattere"/>
    <w:link w:val="Testofumetto"/>
    <w:uiPriority w:val="99"/>
    <w:semiHidden/>
    <w:rsid w:val="009476B2"/>
    <w:rPr>
      <w:rFonts w:ascii="Tahoma" w:hAnsi="Tahoma" w:cs="Tahoma"/>
      <w:sz w:val="16"/>
      <w:szCs w:val="16"/>
      <w:lang w:val="de-DE" w:eastAsia="de-DE"/>
    </w:rPr>
  </w:style>
  <w:style w:type="paragraph" w:customStyle="1" w:styleId="EinfAbs">
    <w:name w:val="[Einf. Abs.]"/>
    <w:basedOn w:val="Normale"/>
    <w:uiPriority w:val="99"/>
    <w:rsid w:val="009D3815"/>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de-AT"/>
    </w:rPr>
  </w:style>
  <w:style w:type="paragraph" w:styleId="Nessunaspaziatura">
    <w:name w:val="No Spacing"/>
    <w:aliases w:val="Grüne Auszeichnung"/>
    <w:uiPriority w:val="1"/>
    <w:qFormat/>
    <w:rsid w:val="00AC5DDC"/>
    <w:pPr>
      <w:spacing w:line="252" w:lineRule="auto"/>
    </w:pPr>
    <w:rPr>
      <w:rFonts w:ascii="Arial" w:hAnsi="Arial"/>
      <w:color w:val="59AA42"/>
      <w:sz w:val="19"/>
      <w:lang w:val="de-DE" w:eastAsia="de-DE"/>
    </w:rPr>
  </w:style>
  <w:style w:type="character" w:customStyle="1" w:styleId="Titolo1Carattere">
    <w:name w:val="Titolo 1 Carattere"/>
    <w:aliases w:val="Fett Carattere"/>
    <w:link w:val="Titolo1"/>
    <w:uiPriority w:val="9"/>
    <w:rsid w:val="00B812A2"/>
    <w:rPr>
      <w:rFonts w:ascii="Arial" w:eastAsia="ＭＳ ゴシック" w:hAnsi="Arial" w:cs="Times New Roman"/>
      <w:b/>
      <w:bCs/>
      <w:spacing w:val="9"/>
      <w:kern w:val="32"/>
      <w:sz w:val="19"/>
      <w:szCs w:val="19"/>
      <w:lang w:val="de-DE"/>
    </w:rPr>
  </w:style>
  <w:style w:type="character" w:customStyle="1" w:styleId="IntestazioneCarattere">
    <w:name w:val="Intestazione Carattere"/>
    <w:link w:val="Intestazione"/>
    <w:uiPriority w:val="99"/>
    <w:rsid w:val="008B74BD"/>
    <w:rPr>
      <w:rFonts w:ascii="Arial" w:hAnsi="Arial"/>
      <w:spacing w:val="2"/>
      <w:sz w:val="19"/>
      <w:szCs w:val="19"/>
      <w:lang w:val="de-DE" w:eastAsia="de-DE"/>
    </w:rPr>
  </w:style>
  <w:style w:type="table" w:styleId="Grigliatabella">
    <w:name w:val="Table Grid"/>
    <w:basedOn w:val="Tabellanormale"/>
    <w:rsid w:val="008B74B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Dropbox:2015%20WOODDAYS%20TORINO:Programma%20eventi:Briefvorlage-Woodbox-promolegn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CF92-79E5-C948-A06B-BC4AA394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Briefvorlage-Woodbox-promolegno1.dot</Template>
  <TotalTime>5</TotalTime>
  <Pages>2</Pages>
  <Words>824</Words>
  <Characters>4703</Characters>
  <Application>Microsoft Macintosh Word</Application>
  <DocSecurity>0</DocSecurity>
  <Lines>39</Lines>
  <Paragraphs>11</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An</vt:lpstr>
      <vt:lpstr>Architekturkongress</vt:lpstr>
      <vt:lpstr>WOOD. BUILDING THE FUTURE.</vt:lpstr>
      <vt:lpstr>Zukunftsorientierte Holzarchitektur in Europa</vt:lpstr>
      <vt:lpstr>Programm:</vt:lpstr>
    </vt:vector>
  </TitlesOfParts>
  <Company>Atelier Gassner</Company>
  <LinksUpToDate>false</LinksUpToDate>
  <CharactersWithSpaces>5516</CharactersWithSpaces>
  <SharedDoc>false</SharedDoc>
  <HLinks>
    <vt:vector size="18" baseType="variant">
      <vt:variant>
        <vt:i4>6881349</vt:i4>
      </vt:variant>
      <vt:variant>
        <vt:i4>-1</vt:i4>
      </vt:variant>
      <vt:variant>
        <vt:i4>2074</vt:i4>
      </vt:variant>
      <vt:variant>
        <vt:i4>1</vt:i4>
      </vt:variant>
      <vt:variant>
        <vt:lpwstr>Wood-BP</vt:lpwstr>
      </vt:variant>
      <vt:variant>
        <vt:lpwstr/>
      </vt:variant>
      <vt:variant>
        <vt:i4>5963895</vt:i4>
      </vt:variant>
      <vt:variant>
        <vt:i4>-1</vt:i4>
      </vt:variant>
      <vt:variant>
        <vt:i4>2079</vt:i4>
      </vt:variant>
      <vt:variant>
        <vt:i4>1</vt:i4>
      </vt:variant>
      <vt:variant>
        <vt:lpwstr>promo_legno-Fusszeile2</vt:lpwstr>
      </vt:variant>
      <vt:variant>
        <vt:lpwstr/>
      </vt:variant>
      <vt:variant>
        <vt:i4>5963895</vt:i4>
      </vt:variant>
      <vt:variant>
        <vt:i4>-1</vt:i4>
      </vt:variant>
      <vt:variant>
        <vt:i4>2080</vt:i4>
      </vt:variant>
      <vt:variant>
        <vt:i4>1</vt:i4>
      </vt:variant>
      <vt:variant>
        <vt:lpwstr>promo_legno-Fusszeile2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Lorena De Agostini</dc:creator>
  <cp:keywords/>
  <dc:description/>
  <cp:lastModifiedBy>Lorena De Agostini</cp:lastModifiedBy>
  <cp:revision>16</cp:revision>
  <cp:lastPrinted>2015-04-20T09:24:00Z</cp:lastPrinted>
  <dcterms:created xsi:type="dcterms:W3CDTF">2015-03-30T10:16:00Z</dcterms:created>
  <dcterms:modified xsi:type="dcterms:W3CDTF">2015-04-20T09:24:00Z</dcterms:modified>
</cp:coreProperties>
</file>